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FF4" w:rsidRDefault="00F8061A" w:rsidP="009C7276">
      <w:pPr>
        <w:jc w:val="right"/>
        <w:rPr>
          <w:rFonts w:ascii="Arial" w:hAnsi="Arial" w:cs="Arial"/>
          <w:sz w:val="16"/>
          <w:szCs w:val="16"/>
        </w:rPr>
      </w:pPr>
      <w:r>
        <w:rPr>
          <w:rFonts w:ascii="Arial" w:hAnsi="Arial" w:cs="Arial"/>
          <w:sz w:val="16"/>
          <w:szCs w:val="16"/>
        </w:rPr>
        <w:t>Lejre d. 1.september</w:t>
      </w:r>
      <w:bookmarkStart w:id="0" w:name="_GoBack"/>
      <w:bookmarkEnd w:id="0"/>
      <w:r w:rsidR="00520917">
        <w:rPr>
          <w:rFonts w:ascii="Arial" w:hAnsi="Arial" w:cs="Arial"/>
          <w:sz w:val="16"/>
          <w:szCs w:val="16"/>
        </w:rPr>
        <w:t xml:space="preserve"> </w:t>
      </w:r>
      <w:r w:rsidR="005141FF" w:rsidRPr="005141FF">
        <w:rPr>
          <w:rFonts w:ascii="Arial" w:hAnsi="Arial" w:cs="Arial"/>
          <w:sz w:val="16"/>
          <w:szCs w:val="16"/>
        </w:rPr>
        <w:t xml:space="preserve"> 2016</w:t>
      </w:r>
    </w:p>
    <w:tbl>
      <w:tblPr>
        <w:tblW w:w="5000" w:type="pct"/>
        <w:tblCellSpacing w:w="0" w:type="dxa"/>
        <w:tblCellMar>
          <w:left w:w="0" w:type="dxa"/>
          <w:right w:w="0" w:type="dxa"/>
        </w:tblCellMar>
        <w:tblLook w:val="04A0"/>
      </w:tblPr>
      <w:tblGrid>
        <w:gridCol w:w="154"/>
        <w:gridCol w:w="9361"/>
        <w:gridCol w:w="123"/>
      </w:tblGrid>
      <w:tr w:rsidR="005141FF" w:rsidTr="006D282D">
        <w:trPr>
          <w:trHeight w:val="132"/>
          <w:tblCellSpacing w:w="0" w:type="dxa"/>
        </w:trPr>
        <w:tc>
          <w:tcPr>
            <w:tcW w:w="154" w:type="dxa"/>
            <w:vAlign w:val="center"/>
            <w:hideMark/>
          </w:tcPr>
          <w:p w:rsidR="005141FF" w:rsidRDefault="005141FF" w:rsidP="006D282D">
            <w:pPr>
              <w:spacing w:line="132" w:lineRule="atLeast"/>
              <w:rPr>
                <w:rFonts w:ascii="Arial" w:hAnsi="Arial" w:cs="Arial"/>
                <w:b/>
                <w:color w:val="000000"/>
                <w:sz w:val="28"/>
                <w:szCs w:val="28"/>
                <w:u w:val="single"/>
              </w:rPr>
            </w:pPr>
          </w:p>
          <w:p w:rsidR="00B50441" w:rsidRDefault="00B50441" w:rsidP="006D282D">
            <w:pPr>
              <w:spacing w:line="132" w:lineRule="atLeast"/>
              <w:rPr>
                <w:rFonts w:ascii="Arial" w:hAnsi="Arial" w:cs="Arial"/>
                <w:b/>
                <w:color w:val="000000"/>
                <w:sz w:val="28"/>
                <w:szCs w:val="28"/>
                <w:u w:val="single"/>
              </w:rPr>
            </w:pPr>
          </w:p>
        </w:tc>
        <w:tc>
          <w:tcPr>
            <w:tcW w:w="9361" w:type="dxa"/>
            <w:tcMar>
              <w:top w:w="0" w:type="dxa"/>
              <w:left w:w="0" w:type="dxa"/>
              <w:bottom w:w="27" w:type="dxa"/>
              <w:right w:w="0" w:type="dxa"/>
            </w:tcMar>
            <w:vAlign w:val="center"/>
            <w:hideMark/>
          </w:tcPr>
          <w:p w:rsidR="00B50441" w:rsidRDefault="00B50441" w:rsidP="00B50441">
            <w:pPr>
              <w:spacing w:line="132" w:lineRule="atLeast"/>
              <w:jc w:val="center"/>
              <w:rPr>
                <w:rFonts w:ascii="Arial" w:hAnsi="Arial" w:cs="Arial"/>
                <w:b/>
                <w:bCs/>
                <w:color w:val="535353"/>
                <w:sz w:val="28"/>
                <w:szCs w:val="28"/>
              </w:rPr>
            </w:pPr>
            <w:r w:rsidRPr="00B50441">
              <w:rPr>
                <w:rFonts w:ascii="Arial" w:hAnsi="Arial" w:cs="Arial"/>
                <w:b/>
                <w:bCs/>
                <w:color w:val="535353"/>
                <w:sz w:val="28"/>
                <w:szCs w:val="28"/>
              </w:rPr>
              <w:t>NOTAT</w:t>
            </w:r>
          </w:p>
          <w:p w:rsidR="00B50441" w:rsidRDefault="00B50441" w:rsidP="00B50441">
            <w:pPr>
              <w:spacing w:line="132" w:lineRule="atLeast"/>
              <w:jc w:val="center"/>
              <w:rPr>
                <w:rFonts w:ascii="Arial" w:hAnsi="Arial" w:cs="Arial"/>
                <w:b/>
                <w:bCs/>
                <w:color w:val="535353"/>
                <w:sz w:val="28"/>
                <w:szCs w:val="28"/>
              </w:rPr>
            </w:pPr>
          </w:p>
          <w:p w:rsidR="00B50441" w:rsidRPr="00B50441" w:rsidRDefault="00B50441" w:rsidP="00B50441">
            <w:pPr>
              <w:spacing w:line="132" w:lineRule="atLeast"/>
              <w:jc w:val="center"/>
              <w:rPr>
                <w:rFonts w:ascii="Arial" w:hAnsi="Arial" w:cs="Arial"/>
                <w:b/>
                <w:bCs/>
                <w:color w:val="535353"/>
                <w:sz w:val="28"/>
                <w:szCs w:val="28"/>
              </w:rPr>
            </w:pPr>
          </w:p>
          <w:p w:rsidR="005141FF" w:rsidRDefault="005141FF" w:rsidP="006D282D">
            <w:pPr>
              <w:spacing w:line="132" w:lineRule="atLeast"/>
              <w:rPr>
                <w:rFonts w:ascii="Arial" w:hAnsi="Arial" w:cs="Arial"/>
                <w:b/>
                <w:color w:val="000000"/>
                <w:sz w:val="28"/>
                <w:szCs w:val="28"/>
                <w:u w:val="single"/>
              </w:rPr>
            </w:pPr>
            <w:r>
              <w:rPr>
                <w:rFonts w:ascii="Arial" w:hAnsi="Arial" w:cs="Arial"/>
                <w:b/>
                <w:bCs/>
                <w:color w:val="535353"/>
                <w:sz w:val="28"/>
                <w:szCs w:val="28"/>
                <w:u w:val="single"/>
              </w:rPr>
              <w:t>Overgang til målerbrønde</w:t>
            </w:r>
            <w:r>
              <w:rPr>
                <w:rFonts w:ascii="Arial" w:hAnsi="Arial" w:cs="Arial"/>
                <w:b/>
                <w:noProof/>
                <w:color w:val="000000"/>
                <w:sz w:val="28"/>
                <w:szCs w:val="28"/>
                <w:lang w:eastAsia="da-DK"/>
              </w:rPr>
              <w:drawing>
                <wp:inline distT="0" distB="0" distL="0" distR="0">
                  <wp:extent cx="76200" cy="118745"/>
                  <wp:effectExtent l="0" t="0" r="0" b="0"/>
                  <wp:docPr id="4" name="Billede 1" descr="http://www.grevevand.dk/Portals/_default/Containers/Synapse2/ContainerImages/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descr="http://www.grevevand.dk/Portals/_default/Containers/Synapse2/ContainerImages/pixel.gif"/>
                          <pic:cNvPicPr>
                            <a:picLocks noChangeAspect="1" noChangeArrowheads="1"/>
                          </pic:cNvPicPr>
                        </pic:nvPicPr>
                        <pic:blipFill>
                          <a:blip r:embed="rId7"/>
                          <a:srcRect/>
                          <a:stretch>
                            <a:fillRect/>
                          </a:stretch>
                        </pic:blipFill>
                        <pic:spPr bwMode="auto">
                          <a:xfrm>
                            <a:off x="0" y="0"/>
                            <a:ext cx="76200" cy="118745"/>
                          </a:xfrm>
                          <a:prstGeom prst="rect">
                            <a:avLst/>
                          </a:prstGeom>
                          <a:noFill/>
                          <a:ln w="9525">
                            <a:noFill/>
                            <a:miter lim="800000"/>
                            <a:headEnd/>
                            <a:tailEnd/>
                          </a:ln>
                        </pic:spPr>
                      </pic:pic>
                    </a:graphicData>
                  </a:graphic>
                </wp:inline>
              </w:drawing>
            </w:r>
          </w:p>
        </w:tc>
        <w:tc>
          <w:tcPr>
            <w:tcW w:w="123" w:type="dxa"/>
            <w:hideMark/>
          </w:tcPr>
          <w:p w:rsidR="005141FF" w:rsidRDefault="005141FF" w:rsidP="006D282D">
            <w:pPr>
              <w:spacing w:line="132" w:lineRule="atLeast"/>
              <w:jc w:val="right"/>
              <w:rPr>
                <w:rFonts w:ascii="Arial" w:hAnsi="Arial" w:cs="Arial"/>
                <w:b/>
                <w:color w:val="000000"/>
                <w:sz w:val="28"/>
                <w:szCs w:val="28"/>
                <w:u w:val="single"/>
              </w:rPr>
            </w:pPr>
            <w:r>
              <w:rPr>
                <w:rFonts w:ascii="Arial" w:hAnsi="Arial" w:cs="Arial"/>
                <w:b/>
                <w:noProof/>
                <w:color w:val="0000FF"/>
                <w:sz w:val="28"/>
                <w:szCs w:val="28"/>
                <w:bdr w:val="none" w:sz="0" w:space="0" w:color="auto" w:frame="1"/>
                <w:lang w:eastAsia="da-DK"/>
              </w:rPr>
              <w:drawing>
                <wp:inline distT="0" distB="0" distL="0" distR="0">
                  <wp:extent cx="59055" cy="76200"/>
                  <wp:effectExtent l="19050" t="0" r="0" b="0"/>
                  <wp:docPr id="5" name="dnn_ctr4011_dnnVISIBILITY_imgVisibility" descr="Minimer">
                    <a:hlinkClick xmlns:a="http://schemas.openxmlformats.org/drawingml/2006/main" r:id="rId8" tooltip="Minimer"/>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n_ctr4011_dnnVISIBILITY_imgVisibility" descr="Minimer"/>
                          <pic:cNvPicPr>
                            <a:picLocks noChangeAspect="1" noChangeArrowheads="1"/>
                          </pic:cNvPicPr>
                        </pic:nvPicPr>
                        <pic:blipFill>
                          <a:blip r:embed="rId9" cstate="print"/>
                          <a:srcRect/>
                          <a:stretch>
                            <a:fillRect/>
                          </a:stretch>
                        </pic:blipFill>
                        <pic:spPr bwMode="auto">
                          <a:xfrm>
                            <a:off x="0" y="0"/>
                            <a:ext cx="59055" cy="76200"/>
                          </a:xfrm>
                          <a:prstGeom prst="rect">
                            <a:avLst/>
                          </a:prstGeom>
                          <a:noFill/>
                          <a:ln w="9525">
                            <a:noFill/>
                            <a:miter lim="800000"/>
                            <a:headEnd/>
                            <a:tailEnd/>
                          </a:ln>
                        </pic:spPr>
                      </pic:pic>
                    </a:graphicData>
                  </a:graphic>
                </wp:inline>
              </w:drawing>
            </w:r>
          </w:p>
        </w:tc>
      </w:tr>
    </w:tbl>
    <w:p w:rsidR="005141FF" w:rsidRDefault="005141FF" w:rsidP="005141FF">
      <w:pPr>
        <w:spacing w:line="200" w:lineRule="atLeast"/>
        <w:textAlignment w:val="baseline"/>
        <w:rPr>
          <w:rFonts w:ascii="Calibri" w:hAnsi="Calibri"/>
          <w:color w:val="000000"/>
        </w:rPr>
      </w:pPr>
      <w:r>
        <w:rPr>
          <w:rFonts w:ascii="Calibri" w:hAnsi="Calibri"/>
          <w:color w:val="000000"/>
        </w:rPr>
        <w:t> </w:t>
      </w:r>
    </w:p>
    <w:p w:rsidR="005141FF" w:rsidRDefault="005141FF" w:rsidP="00520917">
      <w:pPr>
        <w:spacing w:after="0" w:line="200" w:lineRule="atLeast"/>
        <w:textAlignment w:val="baseline"/>
        <w:rPr>
          <w:rFonts w:ascii="Arial" w:hAnsi="Arial" w:cs="Arial"/>
          <w:color w:val="000000"/>
        </w:rPr>
      </w:pPr>
      <w:r>
        <w:rPr>
          <w:rFonts w:ascii="Arial" w:hAnsi="Arial" w:cs="Arial"/>
          <w:b/>
          <w:bCs/>
          <w:color w:val="000000"/>
        </w:rPr>
        <w:t>Gradvis overgang til målerbrønde:</w:t>
      </w:r>
      <w:r>
        <w:rPr>
          <w:rFonts w:ascii="Arial" w:hAnsi="Arial" w:cs="Arial"/>
          <w:color w:val="000000"/>
          <w:bdr w:val="none" w:sz="0" w:space="0" w:color="auto" w:frame="1"/>
        </w:rPr>
        <w:br/>
      </w:r>
      <w:r>
        <w:rPr>
          <w:rFonts w:ascii="Arial" w:hAnsi="Arial" w:cs="Arial"/>
          <w:color w:val="000000"/>
        </w:rPr>
        <w:t>Vandværket har besluttet gradvis, at etablere målerbrønde i stedet for stophaner. Fordelene er de fremtidige besparelser på omkostninger til udskiftning af stophaner, der konstateres utætte eller ikke fungerer. Samtidig kan fremtidige målerskift foregå mere effektivt, da det ikke bliver nødvendigt at aftale med husejerne om adgang til huset, for at skifte måleren. Ved Vandværkets renoveringsarbejde udskiftes stophanen med en målerbrønd, som leveres, monteres og betales af Vandværket. Vandværket sørger for retablering til samme stand, som inden placering af målerbrønden</w:t>
      </w:r>
    </w:p>
    <w:p w:rsidR="00520917" w:rsidRDefault="00520917" w:rsidP="00520917">
      <w:pPr>
        <w:spacing w:after="0" w:line="200" w:lineRule="atLeast"/>
        <w:textAlignment w:val="baseline"/>
        <w:rPr>
          <w:rFonts w:ascii="Arial" w:hAnsi="Arial" w:cs="Arial"/>
          <w:color w:val="000000"/>
        </w:rPr>
      </w:pPr>
    </w:p>
    <w:p w:rsidR="005141FF" w:rsidRDefault="005141FF" w:rsidP="005141FF">
      <w:pPr>
        <w:spacing w:after="0" w:line="200" w:lineRule="atLeast"/>
        <w:textAlignment w:val="baseline"/>
        <w:rPr>
          <w:rFonts w:ascii="Arial" w:hAnsi="Arial" w:cs="Arial"/>
          <w:color w:val="000000"/>
        </w:rPr>
      </w:pPr>
      <w:r>
        <w:rPr>
          <w:rFonts w:ascii="Arial" w:hAnsi="Arial" w:cs="Arial"/>
          <w:color w:val="000000"/>
        </w:rPr>
        <w:t>Ved eksisterende byggerier med stophane, hvor skødehaver ønsker en målerbrønd etableret og ved nybyggeri, leveres og betales målerbrønden af Vandværket. Montering og retablering skal skødehaver sørge for. </w:t>
      </w:r>
      <w:r>
        <w:rPr>
          <w:rFonts w:ascii="Arial" w:hAnsi="Arial" w:cs="Arial"/>
          <w:color w:val="000000"/>
          <w:bdr w:val="none" w:sz="0" w:space="0" w:color="auto" w:frame="1"/>
        </w:rPr>
        <w:br/>
      </w:r>
      <w:r>
        <w:rPr>
          <w:rFonts w:ascii="Arial" w:hAnsi="Arial" w:cs="Arial"/>
          <w:color w:val="000000"/>
          <w:bdr w:val="none" w:sz="0" w:space="0" w:color="auto" w:frame="1"/>
        </w:rPr>
        <w:br/>
      </w:r>
    </w:p>
    <w:p w:rsidR="005141FF" w:rsidRDefault="005141FF" w:rsidP="005141FF">
      <w:pPr>
        <w:spacing w:after="0" w:line="200" w:lineRule="atLeast"/>
        <w:textAlignment w:val="baseline"/>
        <w:rPr>
          <w:rFonts w:ascii="Arial" w:hAnsi="Arial" w:cs="Arial"/>
          <w:color w:val="000000"/>
        </w:rPr>
      </w:pPr>
      <w:r>
        <w:rPr>
          <w:rFonts w:ascii="Arial" w:hAnsi="Arial" w:cs="Arial"/>
          <w:color w:val="000000"/>
        </w:rPr>
        <w:t>Ejerskab, drift og vedligeholdelse overgår efter etablering til skødehaver. Skødehaver får en ulempe ved at skulle aflæse måleren i brønden, men får samtidig mulighed for at opdage en lækage på jordledningen, som skødehaver har ansvaret for. Der skal her, gentages opfordringen til at få udskiftet gamle jernledninger til huset til plastrør, således at vandspild ved lækage minimeres.</w:t>
      </w:r>
    </w:p>
    <w:p w:rsidR="005141FF" w:rsidRDefault="005141FF" w:rsidP="005141FF">
      <w:pPr>
        <w:spacing w:line="200" w:lineRule="atLeast"/>
        <w:textAlignment w:val="baseline"/>
        <w:rPr>
          <w:rFonts w:ascii="Arial" w:hAnsi="Arial" w:cs="Arial"/>
          <w:color w:val="000000"/>
        </w:rPr>
      </w:pPr>
      <w:r>
        <w:rPr>
          <w:rFonts w:ascii="Arial" w:hAnsi="Arial" w:cs="Arial"/>
          <w:color w:val="000000"/>
        </w:rPr>
        <w:t> </w:t>
      </w:r>
    </w:p>
    <w:p w:rsidR="005141FF" w:rsidRDefault="005141FF" w:rsidP="005141FF">
      <w:pPr>
        <w:spacing w:after="0" w:line="200" w:lineRule="atLeast"/>
        <w:textAlignment w:val="baseline"/>
        <w:rPr>
          <w:rFonts w:ascii="Arial" w:hAnsi="Arial" w:cs="Arial"/>
          <w:color w:val="000000"/>
        </w:rPr>
      </w:pPr>
      <w:r>
        <w:rPr>
          <w:rFonts w:ascii="Arial" w:hAnsi="Arial" w:cs="Arial"/>
          <w:color w:val="000000"/>
          <w:bdr w:val="none" w:sz="0" w:space="0" w:color="auto" w:frame="1"/>
        </w:rPr>
        <w:t>Målerbrønden placeres umiddelbart indenfor skel til afløser for stophanen og tilsluttes til den eksisterende jordledning. Derfor skal målerbrønden placeres der, hvor den eksisterende jordledning er. Målerbrønden er en del af forbrugerens vandinstallation og henlægger for grundejerens regning og risiko.</w:t>
      </w:r>
    </w:p>
    <w:p w:rsidR="005141FF" w:rsidRDefault="005141FF" w:rsidP="005141FF">
      <w:pPr>
        <w:spacing w:line="200" w:lineRule="atLeast"/>
        <w:textAlignment w:val="baseline"/>
        <w:rPr>
          <w:rFonts w:ascii="Arial" w:hAnsi="Arial" w:cs="Arial"/>
          <w:color w:val="000000"/>
        </w:rPr>
      </w:pPr>
      <w:r>
        <w:rPr>
          <w:rFonts w:ascii="Arial" w:hAnsi="Arial" w:cs="Arial"/>
          <w:color w:val="000000"/>
        </w:rPr>
        <w:t> </w:t>
      </w:r>
    </w:p>
    <w:p w:rsidR="005141FF" w:rsidRDefault="005141FF" w:rsidP="005141FF">
      <w:pPr>
        <w:spacing w:line="200" w:lineRule="atLeast"/>
        <w:textAlignment w:val="baseline"/>
        <w:rPr>
          <w:rFonts w:ascii="Arial" w:hAnsi="Arial" w:cs="Arial"/>
          <w:color w:val="000000"/>
          <w:bdr w:val="none" w:sz="0" w:space="0" w:color="auto" w:frame="1"/>
        </w:rPr>
      </w:pPr>
    </w:p>
    <w:p w:rsidR="00A17CB6" w:rsidRPr="00A17CB6" w:rsidRDefault="00A17CB6" w:rsidP="005141FF">
      <w:pPr>
        <w:spacing w:line="200" w:lineRule="atLeast"/>
        <w:textAlignment w:val="baseline"/>
        <w:rPr>
          <w:rFonts w:ascii="Arial" w:hAnsi="Arial" w:cs="Arial"/>
          <w:color w:val="000000"/>
        </w:rPr>
      </w:pPr>
      <w:r w:rsidRPr="00A17CB6">
        <w:rPr>
          <w:rFonts w:ascii="Arial" w:eastAsia="Times New Roman" w:hAnsi="Arial" w:cs="Arial"/>
        </w:rPr>
        <w:t>Vandværket skal til en hver tid have uhindret adgang til vandmåleren i brønden. Låget til brønden skal derfor være synligt. Anvisning til placering af målerbrønden aftales mellem ejer og vandværket. Målerbrønden skal altid placeres om muligt tæt ved skel. Grundejer er ansvarlig for at målerbrønden til enhver tid opfylder alle krav. I modsat fald udbedrer Vandværket for grundejers regning.</w:t>
      </w:r>
      <w:r w:rsidRPr="00A17CB6">
        <w:rPr>
          <w:rFonts w:ascii="Arial" w:eastAsia="Times New Roman" w:hAnsi="Arial" w:cs="Arial"/>
        </w:rPr>
        <w:br/>
      </w:r>
    </w:p>
    <w:sectPr w:rsidR="00A17CB6" w:rsidRPr="00A17CB6" w:rsidSect="00595FF4">
      <w:headerReference w:type="even" r:id="rId10"/>
      <w:headerReference w:type="default" r:id="rId11"/>
      <w:footerReference w:type="even" r:id="rId12"/>
      <w:footerReference w:type="default" r:id="rId13"/>
      <w:headerReference w:type="first" r:id="rId14"/>
      <w:footerReference w:type="first" r:id="rId15"/>
      <w:pgSz w:w="11906" w:h="16838"/>
      <w:pgMar w:top="1701"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112C" w:rsidRDefault="0006112C" w:rsidP="00570264">
      <w:pPr>
        <w:spacing w:after="0" w:line="240" w:lineRule="auto"/>
      </w:pPr>
      <w:r>
        <w:separator/>
      </w:r>
    </w:p>
  </w:endnote>
  <w:endnote w:type="continuationSeparator" w:id="0">
    <w:p w:rsidR="0006112C" w:rsidRDefault="0006112C" w:rsidP="005702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441" w:rsidRDefault="00B50441">
    <w:pPr>
      <w:pStyle w:val="Sidefo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441" w:rsidRDefault="00B50441">
    <w:pPr>
      <w:pStyle w:val="Sidefo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441" w:rsidRDefault="00B50441">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112C" w:rsidRDefault="0006112C" w:rsidP="00570264">
      <w:pPr>
        <w:spacing w:after="0" w:line="240" w:lineRule="auto"/>
      </w:pPr>
      <w:r>
        <w:separator/>
      </w:r>
    </w:p>
  </w:footnote>
  <w:footnote w:type="continuationSeparator" w:id="0">
    <w:p w:rsidR="0006112C" w:rsidRDefault="0006112C" w:rsidP="0057026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441" w:rsidRDefault="00B50441">
    <w:pPr>
      <w:pStyle w:val="Sidehove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264" w:rsidRDefault="00570264" w:rsidP="00570264">
    <w:pPr>
      <w:pStyle w:val="Sidehoved"/>
      <w:rPr>
        <w:rFonts w:ascii="Arial" w:hAnsi="Arial" w:cs="Arial"/>
      </w:rPr>
    </w:pPr>
    <w:r>
      <w:rPr>
        <w:rFonts w:ascii="Arial" w:hAnsi="Arial" w:cs="Arial"/>
      </w:rPr>
      <w:t xml:space="preserve"> </w:t>
    </w:r>
    <w:r w:rsidR="004B7EF2">
      <w:rPr>
        <w:rFonts w:ascii="Arial" w:hAnsi="Arial" w:cs="Arial"/>
      </w:rPr>
      <w:t xml:space="preserve">                                           </w:t>
    </w:r>
    <w:r>
      <w:rPr>
        <w:rFonts w:ascii="Arial" w:hAnsi="Arial" w:cs="Arial"/>
      </w:rPr>
      <w:t xml:space="preserve"> Lejre Stationsby Vandværk </w:t>
    </w:r>
    <w:proofErr w:type="spellStart"/>
    <w:r>
      <w:rPr>
        <w:rFonts w:ascii="Arial" w:hAnsi="Arial" w:cs="Arial"/>
      </w:rPr>
      <w:t>amba</w:t>
    </w:r>
    <w:proofErr w:type="spellEnd"/>
  </w:p>
  <w:p w:rsidR="00570264" w:rsidRDefault="005141FF" w:rsidP="00570264">
    <w:pPr>
      <w:pStyle w:val="Sidehoved"/>
      <w:jc w:val="both"/>
      <w:rPr>
        <w:rFonts w:ascii="Arial" w:hAnsi="Arial" w:cs="Arial"/>
      </w:rPr>
    </w:pPr>
    <w:r>
      <w:rPr>
        <w:rFonts w:ascii="Arial" w:hAnsi="Arial" w:cs="Arial"/>
      </w:rPr>
      <w:t xml:space="preserve">    </w:t>
    </w:r>
    <w:r w:rsidR="00570264" w:rsidRPr="00570264">
      <w:rPr>
        <w:rFonts w:ascii="Arial" w:hAnsi="Arial" w:cs="Arial"/>
        <w:noProof/>
        <w:lang w:eastAsia="da-DK"/>
      </w:rPr>
      <w:drawing>
        <wp:inline distT="0" distB="0" distL="0" distR="0">
          <wp:extent cx="652145" cy="804545"/>
          <wp:effectExtent l="19050" t="0" r="0" b="0"/>
          <wp:docPr id="3" name="Billede 1" descr="splash-of-single-drop-in-still-water-2-AJH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lash-of-single-drop-in-still-water-2-AJHD"/>
                  <pic:cNvPicPr>
                    <a:picLocks noChangeAspect="1" noChangeArrowheads="1"/>
                  </pic:cNvPicPr>
                </pic:nvPicPr>
                <pic:blipFill>
                  <a:blip r:embed="rId1"/>
                  <a:srcRect/>
                  <a:stretch>
                    <a:fillRect/>
                  </a:stretch>
                </pic:blipFill>
                <pic:spPr bwMode="auto">
                  <a:xfrm>
                    <a:off x="0" y="0"/>
                    <a:ext cx="652145" cy="804545"/>
                  </a:xfrm>
                  <a:prstGeom prst="rect">
                    <a:avLst/>
                  </a:prstGeom>
                  <a:noFill/>
                  <a:ln w="9525">
                    <a:noFill/>
                    <a:miter lim="800000"/>
                    <a:headEnd/>
                    <a:tailEnd/>
                  </a:ln>
                </pic:spPr>
              </pic:pic>
            </a:graphicData>
          </a:graphic>
        </wp:inline>
      </w:drawing>
    </w:r>
  </w:p>
  <w:p w:rsidR="00570264" w:rsidRDefault="00570264" w:rsidP="00570264">
    <w:pPr>
      <w:spacing w:after="0"/>
      <w:jc w:val="both"/>
      <w:rPr>
        <w:sz w:val="20"/>
      </w:rPr>
    </w:pPr>
    <w:r>
      <w:rPr>
        <w:sz w:val="20"/>
      </w:rPr>
      <w:t xml:space="preserve"> </w:t>
    </w:r>
    <w:hyperlink r:id="rId2" w:history="1">
      <w:r>
        <w:rPr>
          <w:rStyle w:val="Hyperlink"/>
          <w:sz w:val="20"/>
        </w:rPr>
        <w:t>www.lejrevand.dk</w:t>
      </w:r>
    </w:hyperlink>
  </w:p>
  <w:p w:rsidR="00570264" w:rsidRDefault="005141FF" w:rsidP="00570264">
    <w:pPr>
      <w:spacing w:after="0"/>
      <w:rPr>
        <w:sz w:val="20"/>
      </w:rPr>
    </w:pPr>
    <w:r>
      <w:rPr>
        <w:sz w:val="20"/>
      </w:rPr>
      <w:t xml:space="preserve">  </w:t>
    </w:r>
    <w:r w:rsidR="00B50441">
      <w:rPr>
        <w:sz w:val="20"/>
      </w:rPr>
      <w:t xml:space="preserve"> Stationsvej 4</w:t>
    </w:r>
    <w:r w:rsidR="00570264">
      <w:rPr>
        <w:sz w:val="20"/>
      </w:rPr>
      <w:t xml:space="preserve">. </w:t>
    </w:r>
  </w:p>
  <w:p w:rsidR="00570264" w:rsidRPr="00570264" w:rsidRDefault="005141FF" w:rsidP="004B7EF2">
    <w:pPr>
      <w:spacing w:after="0"/>
      <w:rPr>
        <w:rFonts w:ascii="Arial" w:hAnsi="Arial" w:cs="Arial"/>
      </w:rPr>
    </w:pPr>
    <w:r>
      <w:rPr>
        <w:sz w:val="20"/>
      </w:rPr>
      <w:t xml:space="preserve"> </w:t>
    </w:r>
    <w:r w:rsidR="004B7EF2">
      <w:rPr>
        <w:sz w:val="20"/>
      </w:rPr>
      <w:t xml:space="preserve"> </w:t>
    </w:r>
    <w:r w:rsidR="00570264">
      <w:rPr>
        <w:sz w:val="20"/>
      </w:rPr>
      <w:t>DK- 4320 Lejre</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441" w:rsidRDefault="00B50441">
    <w:pPr>
      <w:pStyle w:val="Sidehoved"/>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1304"/>
  <w:hyphenationZone w:val="425"/>
  <w:characterSpacingControl w:val="doNotCompress"/>
  <w:hdrShapeDefaults>
    <o:shapedefaults v:ext="edit" spidmax="5122"/>
  </w:hdrShapeDefaults>
  <w:footnotePr>
    <w:footnote w:id="-1"/>
    <w:footnote w:id="0"/>
  </w:footnotePr>
  <w:endnotePr>
    <w:endnote w:id="-1"/>
    <w:endnote w:id="0"/>
  </w:endnotePr>
  <w:compat/>
  <w:rsids>
    <w:rsidRoot w:val="00570264"/>
    <w:rsid w:val="0006112C"/>
    <w:rsid w:val="00120E67"/>
    <w:rsid w:val="00275A38"/>
    <w:rsid w:val="00294203"/>
    <w:rsid w:val="002F4ED2"/>
    <w:rsid w:val="003F3552"/>
    <w:rsid w:val="004678AB"/>
    <w:rsid w:val="004B7EF2"/>
    <w:rsid w:val="005141FF"/>
    <w:rsid w:val="00520917"/>
    <w:rsid w:val="00570264"/>
    <w:rsid w:val="00595FF4"/>
    <w:rsid w:val="00846DC1"/>
    <w:rsid w:val="009C7276"/>
    <w:rsid w:val="00A17CB6"/>
    <w:rsid w:val="00B26713"/>
    <w:rsid w:val="00B50441"/>
    <w:rsid w:val="00C124B7"/>
    <w:rsid w:val="00CF3612"/>
    <w:rsid w:val="00F8061A"/>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FF4"/>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570264"/>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570264"/>
  </w:style>
  <w:style w:type="paragraph" w:styleId="Sidefod">
    <w:name w:val="footer"/>
    <w:basedOn w:val="Normal"/>
    <w:link w:val="SidefodTegn"/>
    <w:uiPriority w:val="99"/>
    <w:semiHidden/>
    <w:unhideWhenUsed/>
    <w:rsid w:val="00570264"/>
    <w:pPr>
      <w:tabs>
        <w:tab w:val="center" w:pos="4819"/>
        <w:tab w:val="right" w:pos="9638"/>
      </w:tabs>
      <w:spacing w:after="0" w:line="240" w:lineRule="auto"/>
    </w:pPr>
  </w:style>
  <w:style w:type="character" w:customStyle="1" w:styleId="SidefodTegn">
    <w:name w:val="Sidefod Tegn"/>
    <w:basedOn w:val="Standardskrifttypeiafsnit"/>
    <w:link w:val="Sidefod"/>
    <w:uiPriority w:val="99"/>
    <w:semiHidden/>
    <w:rsid w:val="00570264"/>
  </w:style>
  <w:style w:type="paragraph" w:styleId="Markeringsbobletekst">
    <w:name w:val="Balloon Text"/>
    <w:basedOn w:val="Normal"/>
    <w:link w:val="MarkeringsbobletekstTegn"/>
    <w:uiPriority w:val="99"/>
    <w:semiHidden/>
    <w:unhideWhenUsed/>
    <w:rsid w:val="00570264"/>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70264"/>
    <w:rPr>
      <w:rFonts w:ascii="Tahoma" w:hAnsi="Tahoma" w:cs="Tahoma"/>
      <w:sz w:val="16"/>
      <w:szCs w:val="16"/>
    </w:rPr>
  </w:style>
  <w:style w:type="character" w:styleId="Hyperlink">
    <w:name w:val="Hyperlink"/>
    <w:basedOn w:val="Standardskrifttypeiafsnit"/>
    <w:rsid w:val="00570264"/>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__doPostBack('dnn$ctr4011$dnnVISIBILITY$cmdVisibility','')"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hyperlink" Target="http://www.lejrevand.dk/" TargetMode="External"/><Relationship Id="rId1" Type="http://schemas.openxmlformats.org/officeDocument/2006/relationships/image" Target="media/image3.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A56891-98A2-4528-9093-EA3189AA4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278</Words>
  <Characters>1696</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Arne</dc:creator>
  <cp:lastModifiedBy>Arne</cp:lastModifiedBy>
  <cp:revision>2</cp:revision>
  <cp:lastPrinted>2016-04-17T13:52:00Z</cp:lastPrinted>
  <dcterms:created xsi:type="dcterms:W3CDTF">2017-06-14T10:12:00Z</dcterms:created>
  <dcterms:modified xsi:type="dcterms:W3CDTF">2017-06-14T10:12:00Z</dcterms:modified>
</cp:coreProperties>
</file>